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lang w:val="en-US" w:eastAsia="zh-CN"/>
        </w:rPr>
      </w:pPr>
      <w:r>
        <w:rPr>
          <w:rFonts w:hint="eastAsia" w:ascii="微软雅黑" w:hAnsi="微软雅黑" w:eastAsia="微软雅黑"/>
          <w:lang w:val="en-US" w:eastAsia="zh-CN"/>
        </w:rPr>
        <w:t>俊风汽车有限公司</w:t>
      </w:r>
    </w:p>
    <w:p>
      <w:pPr>
        <w:jc w:val="center"/>
        <w:rPr>
          <w:rFonts w:hint="default" w:ascii="微软雅黑" w:hAnsi="微软雅黑" w:eastAsia="微软雅黑"/>
          <w:b/>
          <w:bCs/>
          <w:sz w:val="36"/>
          <w:szCs w:val="44"/>
          <w:u w:val="double"/>
          <w:lang w:val="en-US" w:eastAsia="zh-CN"/>
        </w:rPr>
      </w:pPr>
      <w:r>
        <w:rPr>
          <w:rFonts w:hint="eastAsia" w:ascii="微软雅黑" w:hAnsi="微软雅黑" w:eastAsia="微软雅黑"/>
          <w:b/>
          <w:bCs/>
          <w:sz w:val="36"/>
          <w:szCs w:val="44"/>
          <w:u w:val="double"/>
          <w:lang w:val="en-US" w:eastAsia="zh-CN"/>
        </w:rPr>
        <w:t>JunFeng Automobile Co.,Ltd</w:t>
      </w:r>
    </w:p>
    <w:p>
      <w:pPr>
        <w:spacing w:line="360" w:lineRule="auto"/>
        <w:ind w:left="840" w:leftChars="400" w:firstLine="102" w:firstLineChars="49"/>
        <w:jc w:val="left"/>
        <w:rPr>
          <w:rFonts w:hint="eastAsia" w:ascii="方正粗黑宋简体" w:hAnsi="方正粗黑宋简体" w:eastAsia="方正粗黑宋简体" w:cs="方正粗黑宋简体"/>
          <w:b w:val="0"/>
          <w:bCs w:val="0"/>
          <w:sz w:val="30"/>
          <w:szCs w:val="30"/>
        </w:rPr>
      </w:pPr>
      <w:r>
        <w:rPr>
          <w:rFonts w:hint="eastAsia" w:ascii="方正粗黑宋简体" w:hAnsi="方正粗黑宋简体" w:eastAsia="方正粗黑宋简体" w:cs="方正粗黑宋简体"/>
          <w:b w:val="0"/>
          <w:bCs w:val="0"/>
        </w:rPr>
        <w:drawing>
          <wp:anchor distT="0" distB="0" distL="114300" distR="114300" simplePos="0" relativeHeight="251660288" behindDoc="1" locked="0" layoutInCell="1" allowOverlap="1">
            <wp:simplePos x="0" y="0"/>
            <wp:positionH relativeFrom="column">
              <wp:posOffset>-1162685</wp:posOffset>
            </wp:positionH>
            <wp:positionV relativeFrom="paragraph">
              <wp:posOffset>188595</wp:posOffset>
            </wp:positionV>
            <wp:extent cx="7606665" cy="8536305"/>
            <wp:effectExtent l="0" t="0" r="3810" b="254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extLst>
                        <a:ext uri="{28A0092B-C50C-407E-A947-70E740481C1C}">
                          <a14:useLocalDpi xmlns:a14="http://schemas.microsoft.com/office/drawing/2010/main" val="0"/>
                        </a:ext>
                      </a:extLst>
                    </a:blip>
                    <a:srcRect l="83" t="15419" r="-92" b="5204"/>
                    <a:stretch>
                      <a:fillRect/>
                    </a:stretch>
                  </pic:blipFill>
                  <pic:spPr>
                    <a:xfrm>
                      <a:off x="0" y="0"/>
                      <a:ext cx="7606665" cy="8536305"/>
                    </a:xfrm>
                    <a:prstGeom prst="rect">
                      <a:avLst/>
                    </a:prstGeom>
                  </pic:spPr>
                </pic:pic>
              </a:graphicData>
            </a:graphic>
          </wp:anchor>
        </w:drawing>
      </w:r>
    </w:p>
    <w:p>
      <w:pPr>
        <w:spacing w:line="360" w:lineRule="auto"/>
        <w:ind w:left="840" w:leftChars="400" w:firstLine="147" w:firstLineChars="49"/>
        <w:jc w:val="left"/>
        <w:rPr>
          <w:rFonts w:hint="eastAsia" w:ascii="方正粗黑宋简体" w:hAnsi="方正粗黑宋简体" w:eastAsia="方正粗黑宋简体" w:cs="方正粗黑宋简体"/>
          <w:b w:val="0"/>
          <w:bCs w:val="0"/>
          <w:sz w:val="30"/>
          <w:szCs w:val="30"/>
        </w:rPr>
      </w:pPr>
    </w:p>
    <w:p>
      <w:pPr>
        <w:spacing w:line="360" w:lineRule="auto"/>
        <w:ind w:left="840" w:leftChars="400" w:firstLine="147" w:firstLineChars="49"/>
        <w:jc w:val="left"/>
        <w:rPr>
          <w:rFonts w:hint="eastAsia" w:ascii="方正粗黑宋简体" w:hAnsi="方正粗黑宋简体" w:eastAsia="方正粗黑宋简体" w:cs="方正粗黑宋简体"/>
          <w:b w:val="0"/>
          <w:bCs w:val="0"/>
          <w:sz w:val="30"/>
          <w:szCs w:val="30"/>
        </w:rPr>
      </w:pPr>
      <w:r>
        <w:rPr>
          <w:rFonts w:hint="eastAsia" w:ascii="方正粗黑宋简体" w:hAnsi="方正粗黑宋简体" w:eastAsia="方正粗黑宋简体" w:cs="方正粗黑宋简体"/>
          <w:b w:val="0"/>
          <w:bCs w:val="0"/>
          <w:sz w:val="30"/>
          <w:szCs w:val="30"/>
        </w:rPr>
        <w:t>All-in-one DC charger</w:t>
      </w:r>
    </w:p>
    <w:p>
      <w:pPr>
        <w:spacing w:line="360" w:lineRule="auto"/>
        <w:ind w:left="840" w:leftChars="400"/>
        <w:jc w:val="left"/>
        <w:rPr>
          <w:rFonts w:hint="eastAsia" w:ascii="方正粗黑宋简体" w:hAnsi="方正粗黑宋简体" w:eastAsia="方正粗黑宋简体" w:cs="方正粗黑宋简体"/>
          <w:b w:val="0"/>
          <w:bCs w:val="0"/>
          <w:sz w:val="30"/>
          <w:szCs w:val="30"/>
        </w:rPr>
      </w:pPr>
      <w:r>
        <w:rPr>
          <w:rFonts w:hint="eastAsia" w:ascii="方正粗黑宋简体" w:hAnsi="方正粗黑宋简体" w:eastAsia="方正粗黑宋简体" w:cs="方正粗黑宋简体"/>
          <w:b w:val="0"/>
          <w:bCs w:val="0"/>
          <w:sz w:val="30"/>
          <w:szCs w:val="30"/>
        </w:rPr>
        <w:t>（EVD751-120K-TD）</w:t>
      </w:r>
    </w:p>
    <w:p>
      <w:pPr>
        <w:ind w:firstLine="600" w:firstLineChars="200"/>
        <w:rPr>
          <w:rFonts w:hint="eastAsia" w:ascii="方正粗黑宋简体" w:hAnsi="方正粗黑宋简体" w:eastAsia="方正粗黑宋简体" w:cs="方正粗黑宋简体"/>
          <w:b w:val="0"/>
          <w:bCs w:val="0"/>
          <w:sz w:val="30"/>
          <w:szCs w:val="30"/>
        </w:rPr>
      </w:pPr>
      <w:r>
        <w:rPr>
          <w:rFonts w:hint="eastAsia" w:ascii="方正粗黑宋简体" w:hAnsi="方正粗黑宋简体" w:eastAsia="方正粗黑宋简体" w:cs="方正粗黑宋简体"/>
          <w:b w:val="0"/>
          <w:bCs w:val="0"/>
          <w:sz w:val="30"/>
          <w:szCs w:val="30"/>
        </w:rPr>
        <w:t>Technical Specification</w:t>
      </w:r>
    </w:p>
    <w:p>
      <w:pPr>
        <w:ind w:firstLine="1500" w:firstLineChars="500"/>
        <w:rPr>
          <w:rFonts w:hint="eastAsia" w:ascii="方正粗黑宋简体" w:hAnsi="方正粗黑宋简体" w:eastAsia="方正粗黑宋简体" w:cs="方正粗黑宋简体"/>
          <w:b w:val="0"/>
          <w:bCs w:val="0"/>
          <w:sz w:val="30"/>
          <w:szCs w:val="30"/>
        </w:rPr>
      </w:pPr>
      <w:r>
        <w:rPr>
          <w:rFonts w:hint="eastAsia" w:ascii="方正粗黑宋简体" w:hAnsi="方正粗黑宋简体" w:eastAsia="方正粗黑宋简体" w:cs="方正粗黑宋简体"/>
          <w:b w:val="0"/>
          <w:bCs w:val="0"/>
          <w:sz w:val="30"/>
          <w:szCs w:val="30"/>
        </w:rPr>
        <w:t>Quote</w:t>
      </w:r>
    </w:p>
    <w:p>
      <w:pPr>
        <w:ind w:firstLine="600" w:firstLineChars="200"/>
        <w:rPr>
          <w:rFonts w:hint="eastAsia" w:ascii="方正粗黑宋简体" w:hAnsi="方正粗黑宋简体" w:eastAsia="方正粗黑宋简体" w:cs="方正粗黑宋简体"/>
          <w:b w:val="0"/>
          <w:bCs w:val="0"/>
          <w:sz w:val="30"/>
          <w:szCs w:val="30"/>
        </w:rPr>
      </w:pPr>
    </w:p>
    <w:p>
      <w:pPr>
        <w:rPr>
          <w:sz w:val="21"/>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spacing w:line="360" w:lineRule="auto"/>
        <w:ind w:firstLine="420" w:firstLineChars="200"/>
        <w:rPr>
          <w:rFonts w:hint="eastAsia" w:asciiTheme="minorEastAsia" w:hAnsiTheme="minorEastAsia" w:cstheme="minorEastAsia"/>
          <w:szCs w:val="21"/>
        </w:rPr>
      </w:pPr>
      <w:bookmarkStart w:id="0" w:name="_Toc79604887"/>
      <w:r>
        <w:rPr>
          <w:rFonts w:hint="eastAsia"/>
          <w:lang w:val="en-US" w:eastAsia="zh-CN"/>
        </w:rPr>
        <w:t>一、</w:t>
      </w:r>
      <w:r>
        <w:rPr>
          <w:rFonts w:hint="eastAsia"/>
        </w:rPr>
        <w:t>产品概述</w:t>
      </w:r>
      <w:bookmarkEnd w:id="0"/>
      <w:r>
        <w:rPr>
          <w:rFonts w:hint="eastAsia"/>
          <w:lang w:val="en-US" w:eastAsia="zh-CN"/>
        </w:rPr>
        <w:t xml:space="preserve">  </w:t>
      </w:r>
      <w:r>
        <w:rPr>
          <w:rFonts w:hint="eastAsia" w:asciiTheme="minorEastAsia" w:hAnsiTheme="minorEastAsia" w:cstheme="minorEastAsia"/>
          <w:szCs w:val="21"/>
        </w:rPr>
        <w:t>product overview</w:t>
      </w:r>
    </w:p>
    <w:p>
      <w:pPr>
        <w:autoSpaceDE w:val="0"/>
        <w:autoSpaceDN w:val="0"/>
        <w:adjustRightInd w:val="0"/>
        <w:spacing w:line="360" w:lineRule="auto"/>
        <w:ind w:firstLine="420" w:firstLineChars="200"/>
        <w:jc w:val="left"/>
        <w:rPr>
          <w:rFonts w:hint="eastAsia" w:asciiTheme="minorEastAsia" w:hAnsiTheme="minorEastAsia" w:cstheme="minorEastAsia"/>
          <w:szCs w:val="21"/>
        </w:rPr>
      </w:pPr>
      <w:r>
        <w:rPr>
          <w:rFonts w:hint="eastAsia" w:asciiTheme="minorEastAsia" w:hAnsiTheme="minorEastAsia" w:cstheme="minorEastAsia"/>
          <w:szCs w:val="21"/>
        </w:rPr>
        <w:t>一体式直流充电机由充电模块、控制系统、充电接口、人机交互、通信、计费等组成；设备可根据车辆BMS反馈的数据，动态调整充电参数，实现智能充电，广泛适用于各类充电应用场景。</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The integrated DC charger is composed of charging module, control system, charging interface, human-computer interaction, communication, billing, etc. The device can dynamically adjust the charging parameters according to the data fed back by the vehicle BMS to realize intelligent charging, and is widely applicable to various types of charging. application scenarios.</w:t>
      </w:r>
    </w:p>
    <w:p>
      <w:pPr>
        <w:autoSpaceDE w:val="0"/>
        <w:autoSpaceDN w:val="0"/>
        <w:adjustRightInd w:val="0"/>
        <w:spacing w:line="360" w:lineRule="auto"/>
        <w:ind w:firstLine="420" w:firstLineChars="200"/>
        <w:jc w:val="left"/>
        <w:rPr>
          <w:rFonts w:hint="eastAsia" w:asciiTheme="minorEastAsia" w:hAnsiTheme="minorEastAsia" w:cstheme="minorEastAsia"/>
          <w:szCs w:val="21"/>
        </w:rPr>
      </w:pPr>
    </w:p>
    <w:p>
      <w:pPr>
        <w:spacing w:line="360" w:lineRule="auto"/>
        <w:ind w:firstLine="420" w:firstLineChars="200"/>
        <w:rPr>
          <w:rFonts w:hint="eastAsia" w:asciiTheme="minorEastAsia" w:hAnsiTheme="minorEastAsia" w:cstheme="minorEastAsia"/>
          <w:szCs w:val="21"/>
        </w:rPr>
      </w:pPr>
      <w:bookmarkStart w:id="1" w:name="_Toc79604888"/>
      <w:bookmarkStart w:id="2" w:name="_Toc486860676"/>
      <w:bookmarkStart w:id="3" w:name="_Toc27032"/>
      <w:bookmarkStart w:id="4" w:name="_Toc483404424"/>
      <w:bookmarkStart w:id="5" w:name="_Toc483409592"/>
      <w:r>
        <w:rPr>
          <w:rFonts w:hint="eastAsia"/>
          <w:lang w:val="en-US" w:eastAsia="zh-CN"/>
        </w:rPr>
        <w:t>二、</w:t>
      </w:r>
      <w:r>
        <w:rPr>
          <w:rFonts w:hint="eastAsia"/>
        </w:rPr>
        <w:t>适用范围</w:t>
      </w:r>
      <w:bookmarkEnd w:id="1"/>
      <w:bookmarkEnd w:id="2"/>
      <w:bookmarkEnd w:id="3"/>
      <w:bookmarkEnd w:id="4"/>
      <w:bookmarkEnd w:id="5"/>
      <w:r>
        <w:rPr>
          <w:rFonts w:hint="eastAsia"/>
          <w:lang w:val="en-US" w:eastAsia="zh-CN"/>
        </w:rPr>
        <w:t xml:space="preserve"> </w:t>
      </w:r>
      <w:r>
        <w:rPr>
          <w:rFonts w:hint="eastAsia" w:asciiTheme="minorEastAsia" w:hAnsiTheme="minorEastAsia" w:cstheme="minorEastAsia"/>
          <w:szCs w:val="21"/>
        </w:rPr>
        <w:t>Scope of application</w:t>
      </w:r>
    </w:p>
    <w:p>
      <w:pPr>
        <w:spacing w:line="360" w:lineRule="auto"/>
        <w:ind w:firstLine="422" w:firstLineChars="200"/>
        <w:rPr>
          <w:rFonts w:hint="eastAsia" w:asciiTheme="minorEastAsia" w:hAnsiTheme="minorEastAsia" w:cstheme="minorEastAsia"/>
          <w:szCs w:val="21"/>
        </w:rPr>
      </w:pPr>
      <w:r>
        <w:rPr>
          <w:rFonts w:hint="eastAsia" w:asciiTheme="minorEastAsia" w:hAnsiTheme="minorEastAsia" w:cstheme="minorEastAsia"/>
          <w:b/>
          <w:bCs/>
          <w:szCs w:val="21"/>
        </w:rPr>
        <w:t>服务车型：</w:t>
      </w:r>
      <w:r>
        <w:rPr>
          <w:rFonts w:hint="eastAsia" w:asciiTheme="minorEastAsia" w:hAnsiTheme="minorEastAsia" w:cstheme="minorEastAsia"/>
          <w:szCs w:val="21"/>
        </w:rPr>
        <w:t>适用于具备国标直流充电接口的车辆，如新能源纯电动公交车、乘用车、物流车、特种车辆等。</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Service models: suitable for vehicles with national standard DC charging interfaces, such as new energy pure electric buses, passenger cars, logistics vehicles, special vehicles, etc.</w:t>
      </w:r>
    </w:p>
    <w:p>
      <w:pPr>
        <w:spacing w:line="360" w:lineRule="auto"/>
        <w:ind w:firstLine="420" w:firstLineChars="200"/>
        <w:rPr>
          <w:rFonts w:hint="eastAsia" w:asciiTheme="minorEastAsia" w:hAnsiTheme="minorEastAsia" w:cstheme="minorEastAsia"/>
          <w:szCs w:val="21"/>
        </w:rPr>
      </w:pPr>
    </w:p>
    <w:p>
      <w:pPr>
        <w:spacing w:line="360" w:lineRule="auto"/>
        <w:ind w:firstLine="422" w:firstLineChars="200"/>
        <w:rPr>
          <w:rFonts w:hint="eastAsia" w:asciiTheme="minorEastAsia" w:hAnsiTheme="minorEastAsia" w:cstheme="minorEastAsia"/>
          <w:szCs w:val="21"/>
        </w:rPr>
      </w:pPr>
      <w:r>
        <w:rPr>
          <w:rFonts w:hint="eastAsia" w:asciiTheme="minorEastAsia" w:hAnsiTheme="minorEastAsia" w:cstheme="minorEastAsia"/>
          <w:b/>
          <w:bCs/>
          <w:szCs w:val="21"/>
        </w:rPr>
        <w:t>使用场景：</w:t>
      </w:r>
      <w:r>
        <w:rPr>
          <w:rFonts w:hint="eastAsia" w:asciiTheme="minorEastAsia" w:hAnsiTheme="minorEastAsia" w:cstheme="minorEastAsia"/>
          <w:szCs w:val="21"/>
        </w:rPr>
        <w:t>适用于集中式充电站（如专用充电站、公共充电站等）以及分散式充电站（如小区、综合办公楼、主题公园、4S店等）。</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Usage scenarios: It is suitable for centralized charging stations (such as dedicated charging stations, public charging stations, etc.) and decentralized charging stations (such as communities, comprehensive office buildings, theme parks, 4S stores, etc.).</w:t>
      </w:r>
    </w:p>
    <w:p>
      <w:pPr>
        <w:spacing w:line="360" w:lineRule="auto"/>
        <w:ind w:firstLine="420" w:firstLineChars="200"/>
        <w:rPr>
          <w:rFonts w:hint="eastAsia" w:asciiTheme="minorEastAsia" w:hAnsiTheme="minorEastAsia" w:cstheme="minorEastAsia"/>
          <w:szCs w:val="21"/>
        </w:rPr>
      </w:pPr>
    </w:p>
    <w:p>
      <w:pPr>
        <w:spacing w:line="360" w:lineRule="auto"/>
        <w:ind w:firstLine="411" w:firstLineChars="195"/>
        <w:jc w:val="left"/>
        <w:rPr>
          <w:rFonts w:asciiTheme="minorEastAsia" w:hAnsiTheme="minorEastAsia" w:cstheme="minorEastAsia"/>
          <w:b/>
          <w:bCs/>
          <w:szCs w:val="21"/>
        </w:rPr>
      </w:pPr>
      <w:r>
        <w:rPr>
          <w:rFonts w:hint="eastAsia" w:asciiTheme="minorEastAsia" w:hAnsiTheme="minorEastAsia" w:cstheme="minorEastAsia"/>
          <w:b/>
          <w:bCs/>
          <w:szCs w:val="21"/>
        </w:rPr>
        <w:t xml:space="preserve">满足标准： </w:t>
      </w:r>
      <w:r>
        <w:rPr>
          <w:rFonts w:hint="eastAsia" w:asciiTheme="minorEastAsia" w:hAnsiTheme="minorEastAsia" w:cstheme="minorEastAsia"/>
          <w:szCs w:val="21"/>
        </w:rPr>
        <w:t>GB/T 18487.1-2015、GB/T 20234.1-2015、GB/T 20234.3-2015、GB/T 27930-2015</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fulfill the standard:</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 xml:space="preserve">  GB/T 18487.1-2015, GB/T 20234.1-2015, GB/T 20234.3-2015, GB/T 27930-2015</w:t>
      </w:r>
    </w:p>
    <w:p>
      <w:pPr>
        <w:spacing w:line="360" w:lineRule="auto"/>
        <w:ind w:firstLine="420" w:firstLineChars="200"/>
        <w:rPr>
          <w:rFonts w:hint="eastAsia" w:asciiTheme="minorEastAsia" w:hAnsiTheme="minorEastAsia" w:cstheme="minorEastAsia"/>
          <w:szCs w:val="21"/>
        </w:rPr>
      </w:pPr>
    </w:p>
    <w:p>
      <w:pPr>
        <w:spacing w:line="360" w:lineRule="auto"/>
        <w:ind w:firstLine="420" w:firstLineChars="200"/>
        <w:rPr>
          <w:rFonts w:hint="eastAsia" w:asciiTheme="minorEastAsia" w:hAnsiTheme="minorEastAsia" w:cstheme="minorEastAsia"/>
          <w:szCs w:val="21"/>
        </w:rPr>
      </w:pPr>
    </w:p>
    <w:p>
      <w:pPr>
        <w:pStyle w:val="13"/>
        <w:keepNext w:val="0"/>
        <w:keepLines w:val="0"/>
        <w:widowControl w:val="0"/>
        <w:numPr>
          <w:ilvl w:val="0"/>
          <w:numId w:val="0"/>
        </w:numPr>
        <w:ind w:leftChars="0" w:right="0" w:rightChars="0"/>
        <w:rPr>
          <w:rFonts w:hint="eastAsia" w:eastAsiaTheme="minorEastAsia"/>
          <w:lang w:val="en-US" w:eastAsia="zh-CN"/>
        </w:rPr>
      </w:pPr>
      <w:bookmarkStart w:id="6" w:name="_Toc79604889"/>
      <w:bookmarkStart w:id="7" w:name="_Toc486860679"/>
      <w:bookmarkStart w:id="8" w:name="_Toc483409595"/>
      <w:bookmarkStart w:id="9" w:name="_Toc483404426"/>
      <w:bookmarkStart w:id="10" w:name="_Toc4617"/>
      <w:r>
        <w:rPr>
          <w:rFonts w:hint="eastAsia"/>
        </w:rPr>
        <w:t>外观尺寸</w:t>
      </w:r>
      <w:bookmarkEnd w:id="6"/>
      <w:bookmarkEnd w:id="7"/>
      <w:bookmarkEnd w:id="8"/>
      <w:bookmarkEnd w:id="9"/>
      <w:bookmarkEnd w:id="10"/>
      <w:r>
        <w:rPr>
          <w:rFonts w:hint="eastAsia"/>
          <w:lang w:val="en-US" w:eastAsia="zh-CN"/>
        </w:rPr>
        <w:t xml:space="preserve"> </w:t>
      </w:r>
      <w:r>
        <w:rPr>
          <w:rFonts w:ascii="宋体" w:hAnsi="宋体" w:eastAsia="宋体" w:cs="宋体"/>
          <w:sz w:val="24"/>
          <w:szCs w:val="24"/>
          <w:lang w:val="en-US"/>
        </w:rPr>
        <w:t>Appearance size</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bCs/>
          <w:szCs w:val="21"/>
        </w:rPr>
        <w:t>一体式直流充电机（EVD751-120K-TD）外观及尺</w:t>
      </w:r>
      <w:r>
        <w:rPr>
          <w:rFonts w:hint="eastAsia" w:asciiTheme="minorEastAsia" w:hAnsiTheme="minorEastAsia" w:cstheme="minorEastAsia"/>
          <w:szCs w:val="21"/>
        </w:rPr>
        <w:t>寸如图1所示：</w:t>
      </w:r>
    </w:p>
    <w:p>
      <w:pPr>
        <w:spacing w:line="360" w:lineRule="auto"/>
        <w:ind w:firstLine="480" w:firstLineChars="200"/>
        <w:rPr>
          <w:rFonts w:ascii="宋体" w:hAnsi="宋体" w:eastAsia="宋体" w:cs="宋体"/>
          <w:sz w:val="24"/>
          <w:szCs w:val="24"/>
          <w:lang w:val="en-US"/>
        </w:rPr>
      </w:pPr>
      <w:r>
        <w:rPr>
          <w:rFonts w:ascii="宋体" w:hAnsi="宋体" w:eastAsia="宋体" w:cs="宋体"/>
          <w:sz w:val="24"/>
          <w:szCs w:val="24"/>
          <w:lang w:val="en-US"/>
        </w:rPr>
        <w:t>The appearance and size of the integrated DC charger (EVD751-120K-TD) are shown in Figure 1:</w:t>
      </w:r>
    </w:p>
    <w:p>
      <w:pPr>
        <w:spacing w:line="360" w:lineRule="auto"/>
        <w:ind w:firstLine="420" w:firstLineChars="200"/>
        <w:rPr>
          <w:rFonts w:hint="eastAsia" w:asciiTheme="minorEastAsia" w:hAnsiTheme="minorEastAsia" w:cstheme="minorEastAsia"/>
          <w:szCs w:val="21"/>
        </w:rPr>
      </w:pPr>
      <w:r>
        <w:rPr>
          <w:rFonts w:asciiTheme="minorEastAsia" w:hAnsiTheme="minorEastAsia" w:cstheme="minorEastAsia"/>
          <w:szCs w:val="21"/>
        </w:rPr>
        <w:drawing>
          <wp:inline distT="0" distB="0" distL="0" distR="0">
            <wp:extent cx="1788160" cy="2540000"/>
            <wp:effectExtent l="0" t="0" r="0" b="0"/>
            <wp:docPr id="3" name="图片 2" descr="EVD751-120K-TD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EVD751-120K-TD_02.png"/>
                    <pic:cNvPicPr>
                      <a:picLocks noChangeAspect="1"/>
                    </pic:cNvPicPr>
                  </pic:nvPicPr>
                  <pic:blipFill>
                    <a:blip r:embed="rId7" cstate="print"/>
                    <a:srcRect l="12438" t="20290" r="14490" b="12558"/>
                    <a:stretch>
                      <a:fillRect/>
                    </a:stretch>
                  </pic:blipFill>
                  <pic:spPr>
                    <a:xfrm>
                      <a:off x="0" y="0"/>
                      <a:ext cx="1788160" cy="2540000"/>
                    </a:xfrm>
                    <a:prstGeom prst="rect">
                      <a:avLst/>
                    </a:prstGeom>
                  </pic:spPr>
                </pic:pic>
              </a:graphicData>
            </a:graphic>
          </wp:inline>
        </w:drawing>
      </w:r>
      <w:r>
        <w:rPr>
          <w:rFonts w:hint="eastAsia" w:asciiTheme="minorEastAsia" w:hAnsiTheme="minorEastAsia" w:cstheme="minorEastAsia"/>
          <w:szCs w:val="21"/>
        </w:rPr>
        <w:drawing>
          <wp:inline distT="0" distB="0" distL="0" distR="0">
            <wp:extent cx="3018790" cy="2820035"/>
            <wp:effectExtent l="0" t="0" r="3810" b="825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8"/>
                    <a:srcRect/>
                    <a:stretch>
                      <a:fillRect/>
                    </a:stretch>
                  </pic:blipFill>
                  <pic:spPr>
                    <a:xfrm>
                      <a:off x="0" y="0"/>
                      <a:ext cx="3018790" cy="2820035"/>
                    </a:xfrm>
                    <a:prstGeom prst="rect">
                      <a:avLst/>
                    </a:prstGeom>
                    <a:noFill/>
                    <a:ln w="9525">
                      <a:noFill/>
                      <a:miter lim="800000"/>
                      <a:headEnd/>
                      <a:tailEnd/>
                    </a:ln>
                  </pic:spPr>
                </pic:pic>
              </a:graphicData>
            </a:graphic>
          </wp:inline>
        </w:drawing>
      </w:r>
    </w:p>
    <w:p>
      <w:pPr>
        <w:pStyle w:val="4"/>
        <w:widowControl/>
        <w:spacing w:before="60" w:after="60" w:line="360" w:lineRule="auto"/>
        <w:rPr>
          <w:rFonts w:hint="eastAsia" w:asciiTheme="minorEastAsia" w:hAnsiTheme="minorEastAsia" w:cstheme="minorEastAsia"/>
          <w:szCs w:val="21"/>
        </w:rPr>
      </w:pPr>
      <w:r>
        <w:t xml:space="preserve">图 </w:t>
      </w:r>
      <w:r>
        <w:fldChar w:fldCharType="begin"/>
      </w:r>
      <w:r>
        <w:instrText xml:space="preserve"> SEQ 图 \* ARABIC </w:instrText>
      </w:r>
      <w:r>
        <w:fldChar w:fldCharType="separate"/>
      </w:r>
      <w:r>
        <w:t>1</w:t>
      </w:r>
      <w:r>
        <w:fldChar w:fldCharType="end"/>
      </w:r>
      <w:r>
        <w:rPr>
          <w:rFonts w:hint="eastAsia" w:asciiTheme="minorEastAsia" w:hAnsiTheme="minorEastAsia" w:cstheme="minorEastAsia"/>
          <w:bCs/>
          <w:szCs w:val="21"/>
        </w:rPr>
        <w:t>一体式直流充电机（EVD751-120K-TD</w:t>
      </w:r>
      <w:r>
        <w:rPr>
          <w:rFonts w:hint="eastAsia" w:asciiTheme="minorEastAsia" w:hAnsiTheme="minorEastAsia" w:cstheme="minorEastAsia"/>
          <w:szCs w:val="21"/>
        </w:rPr>
        <w:t>）外观及尺寸图</w:t>
      </w:r>
    </w:p>
    <w:p>
      <w:pPr>
        <w:pStyle w:val="4"/>
        <w:widowControl/>
        <w:spacing w:before="60" w:after="60" w:line="360" w:lineRule="auto"/>
        <w:rPr>
          <w:rFonts w:hint="eastAsia" w:asciiTheme="minorEastAsia" w:hAnsiTheme="minorEastAsia" w:cstheme="minorEastAsia"/>
          <w:szCs w:val="21"/>
        </w:rPr>
      </w:pPr>
      <w:r>
        <w:rPr>
          <w:rFonts w:hint="eastAsia" w:asciiTheme="minorEastAsia" w:hAnsiTheme="minorEastAsia" w:cstheme="minorEastAsia"/>
          <w:szCs w:val="21"/>
        </w:rPr>
        <w:t>Figure 1 Appearance and dimensions of the integrated DC charger (EVD751-120K-TD)</w:t>
      </w:r>
    </w:p>
    <w:p>
      <w:pPr>
        <w:rPr>
          <w:rFonts w:hint="eastAsia" w:asciiTheme="minorEastAsia" w:hAnsiTheme="minorEastAsia" w:cstheme="minorEastAsia"/>
          <w:szCs w:val="21"/>
        </w:rPr>
      </w:pPr>
    </w:p>
    <w:p>
      <w:pPr>
        <w:rPr>
          <w:rFonts w:hint="eastAsia" w:asciiTheme="minorEastAsia" w:hAnsiTheme="minorEastAsia" w:cstheme="minorEastAsia"/>
          <w:szCs w:val="21"/>
        </w:rPr>
      </w:pPr>
    </w:p>
    <w:p>
      <w:pPr>
        <w:pStyle w:val="13"/>
        <w:keepNext w:val="0"/>
        <w:keepLines w:val="0"/>
        <w:widowControl w:val="0"/>
        <w:numPr>
          <w:ilvl w:val="0"/>
          <w:numId w:val="0"/>
        </w:numPr>
        <w:ind w:leftChars="0" w:right="0" w:rightChars="0"/>
        <w:rPr>
          <w:rFonts w:hint="eastAsia" w:eastAsiaTheme="minorEastAsia"/>
          <w:lang w:val="en-US" w:eastAsia="zh-CN"/>
        </w:rPr>
      </w:pPr>
      <w:bookmarkStart w:id="11" w:name="_Toc3468"/>
      <w:bookmarkStart w:id="12" w:name="_Toc483404430"/>
      <w:bookmarkStart w:id="13" w:name="_Toc483409599"/>
      <w:bookmarkStart w:id="14" w:name="_Toc79604893"/>
      <w:bookmarkStart w:id="15" w:name="_Toc486860683"/>
      <w:r>
        <w:rPr>
          <w:rFonts w:hint="eastAsia"/>
        </w:rPr>
        <w:t>主要技术指标</w:t>
      </w:r>
      <w:bookmarkEnd w:id="11"/>
      <w:bookmarkEnd w:id="12"/>
      <w:bookmarkEnd w:id="13"/>
      <w:bookmarkEnd w:id="14"/>
      <w:bookmarkEnd w:id="15"/>
      <w:r>
        <w:rPr>
          <w:rFonts w:hint="eastAsia"/>
          <w:lang w:val="en-US" w:eastAsia="zh-CN"/>
        </w:rPr>
        <w:t xml:space="preserve"> </w:t>
      </w:r>
      <w:r>
        <w:rPr>
          <w:rFonts w:ascii="宋体" w:hAnsi="宋体" w:eastAsia="宋体" w:cs="宋体"/>
          <w:sz w:val="24"/>
          <w:szCs w:val="24"/>
          <w:lang w:val="en-US"/>
        </w:rPr>
        <w:t>Main Specifications</w:t>
      </w:r>
    </w:p>
    <w:p>
      <w:pPr>
        <w:spacing w:line="360" w:lineRule="auto"/>
        <w:ind w:firstLine="420" w:firstLineChars="200"/>
        <w:rPr>
          <w:rFonts w:hint="eastAsia" w:asciiTheme="minorEastAsia" w:hAnsiTheme="minorEastAsia" w:cstheme="minorEastAsia"/>
          <w:bCs/>
          <w:szCs w:val="21"/>
        </w:rPr>
      </w:pPr>
      <w:r>
        <w:rPr>
          <w:rFonts w:hint="eastAsia" w:asciiTheme="minorEastAsia" w:hAnsiTheme="minorEastAsia" w:cstheme="minorEastAsia"/>
          <w:bCs/>
          <w:szCs w:val="21"/>
        </w:rPr>
        <w:t>一体式直流充电机（EVD751-120K-TD）技术指标如表</w:t>
      </w:r>
      <w:r>
        <w:rPr>
          <w:rFonts w:asciiTheme="minorEastAsia" w:hAnsiTheme="minorEastAsia" w:cstheme="minorEastAsia"/>
          <w:bCs/>
          <w:szCs w:val="21"/>
        </w:rPr>
        <w:t>3</w:t>
      </w:r>
      <w:r>
        <w:rPr>
          <w:rFonts w:hint="eastAsia" w:asciiTheme="minorEastAsia" w:hAnsiTheme="minorEastAsia" w:cstheme="minorEastAsia"/>
          <w:bCs/>
          <w:szCs w:val="21"/>
        </w:rPr>
        <w:t>所示：</w:t>
      </w:r>
    </w:p>
    <w:p>
      <w:pPr>
        <w:spacing w:line="360" w:lineRule="auto"/>
        <w:ind w:firstLine="480" w:firstLineChars="200"/>
        <w:rPr>
          <w:rFonts w:hint="eastAsia" w:asciiTheme="minorEastAsia" w:hAnsiTheme="minorEastAsia" w:cstheme="minorEastAsia"/>
          <w:bCs/>
          <w:szCs w:val="21"/>
        </w:rPr>
      </w:pPr>
      <w:r>
        <w:rPr>
          <w:rFonts w:ascii="宋体" w:hAnsi="宋体" w:eastAsia="宋体" w:cs="宋体"/>
          <w:sz w:val="24"/>
          <w:szCs w:val="24"/>
          <w:lang w:val="en-US"/>
        </w:rPr>
        <w:t>The technical indicators of the integrated DC charger (EVD751-120K-TD) are shown in Table 3:</w:t>
      </w:r>
    </w:p>
    <w:tbl>
      <w:tblPr>
        <w:tblStyle w:val="9"/>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547"/>
        <w:gridCol w:w="3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4216" w:type="dxa"/>
            <w:gridSpan w:val="2"/>
            <w:tcBorders>
              <w:tl2br w:val="single" w:color="auto" w:sz="4" w:space="0"/>
              <w:tr2bl w:val="nil"/>
            </w:tcBorders>
            <w:shd w:val="clear" w:color="auto" w:fill="auto"/>
            <w:vAlign w:val="center"/>
          </w:tcPr>
          <w:p>
            <w:pPr>
              <w:spacing w:line="360" w:lineRule="auto"/>
              <w:ind w:left="2108" w:hanging="2108" w:hangingChars="1000"/>
              <w:rPr>
                <w:rFonts w:asciiTheme="minorEastAsia" w:hAnsiTheme="minorEastAsia" w:cstheme="minorEastAsia"/>
                <w:b/>
                <w:bCs/>
                <w:sz w:val="20"/>
                <w:szCs w:val="20"/>
              </w:rPr>
            </w:pPr>
            <w:r>
              <w:rPr>
                <w:rFonts w:asciiTheme="minorEastAsia" w:hAnsiTheme="minorEastAsia" w:cstheme="minorEastAsia"/>
                <w:b/>
                <w:bCs/>
                <w:szCs w:val="21"/>
              </w:rPr>
              <mc:AlternateContent>
                <mc:Choice Requires="wps">
                  <w:drawing>
                    <wp:anchor distT="0" distB="0" distL="114300" distR="114300" simplePos="0" relativeHeight="251661312" behindDoc="0" locked="0" layoutInCell="1" allowOverlap="1">
                      <wp:simplePos x="0" y="0"/>
                      <wp:positionH relativeFrom="column">
                        <wp:posOffset>614680</wp:posOffset>
                      </wp:positionH>
                      <wp:positionV relativeFrom="paragraph">
                        <wp:posOffset>30480</wp:posOffset>
                      </wp:positionV>
                      <wp:extent cx="160020" cy="166370"/>
                      <wp:effectExtent l="0" t="0" r="0" b="0"/>
                      <wp:wrapNone/>
                      <wp:docPr id="8" name="__TH_B1135"/>
                      <wp:cNvGraphicFramePr/>
                      <a:graphic xmlns:a="http://schemas.openxmlformats.org/drawingml/2006/main">
                        <a:graphicData uri="http://schemas.microsoft.com/office/word/2010/wordprocessingShape">
                          <wps:wsp>
                            <wps:cNvSpPr txBox="1"/>
                            <wps:spPr>
                              <a:xfrm>
                                <a:off x="0" y="0"/>
                                <a:ext cx="160020" cy="166370"/>
                              </a:xfrm>
                              <a:prstGeom prst="rect">
                                <a:avLst/>
                              </a:prstGeom>
                              <a:noFill/>
                              <a:ln w="9525">
                                <a:noFill/>
                              </a:ln>
                            </wps:spPr>
                            <wps:txbx>
                              <w:txbxContent>
                                <w:p>
                                  <w:pPr>
                                    <w:snapToGrid w:val="0"/>
                                    <w:rPr>
                                      <w:color w:val="000000"/>
                                    </w:rPr>
                                  </w:pPr>
                                </w:p>
                              </w:txbxContent>
                            </wps:txbx>
                            <wps:bodyPr lIns="0" tIns="0" rIns="0" bIns="0" upright="1"/>
                          </wps:wsp>
                        </a:graphicData>
                      </a:graphic>
                    </wp:anchor>
                  </w:drawing>
                </mc:Choice>
                <mc:Fallback>
                  <w:pict>
                    <v:shape id="__TH_B1135" o:spid="_x0000_s1026" o:spt="202" type="#_x0000_t202" style="position:absolute;left:0pt;margin-left:48.4pt;margin-top:2.4pt;height:13.1pt;width:12.6pt;z-index:251661312;mso-width-relative:page;mso-height-relative:page;" filled="f" stroked="f" coordsize="21600,21600" o:gfxdata="UEsDBAoAAAAAAIdO4kAAAAAAAAAAAAAAAAAEAAAAZHJzL1BLAwQUAAAACACHTuJA9t5pINYAAAAH&#10;AQAADwAAAGRycy9kb3ducmV2LnhtbE2PzU7DMBCE70h9B2srcaN2AopoiFMhBCckRBoOHJ1km1iN&#10;1yF2f3h7tid6Wo1mNPNtsTm7URxxDtaThmSlQCC1vrPUa/iq3+4eQYRoqDOjJ9TwiwE25eKmMHnn&#10;T1ThcRt7wSUUcqNhiHHKpQztgM6ElZ+Q2Nv52ZnIcu5lN5sTl7tRpkpl0hlLvDCYCV8GbPfbg9Pw&#10;/E3Vq/35aD6rXWXreq3oPdtrfbtM1BOIiOf4H4YLPqNDyUyNP1AXxKhhnTF51PDA52KnKb/WaLhP&#10;FMiykNf85R9QSwMEFAAAAAgAh07iQCU2+t62AQAAeQMAAA4AAABkcnMvZTJvRG9jLnhtbK1TTW/b&#10;MAy9D9h/EHRfbKdIthlxChRBtwHFNqDtOVBkORYgiQKlxM6/L6XE6dBeethFpvjxyPcor25Ha9hR&#10;YdDgGl7NSs6Uk9Bqt2/489P9l2+chShcKww41fCTCvx2/fnTavC1mkMPplXICMSFevAN72P0dVEE&#10;2Ssrwgy8chTsAK2IdMV90aIYCN2aYl6Wy2IAbD2CVCGQd3MO8gsifgQQuk5LtQF5sMrFMyoqIyJR&#10;Cr32ga/ztF2nZPzTdUFFZhpOTGM+qQnZu3QW65Wo9yh8r+VlBPGREd5wskI7anqF2ogo2AH1Oyir&#10;JUKALs4k2OJMJCtCLKryjTaPvfAqcyGpg7+KHv4frPx9/ItMtw2ntTthaeHb7dPP7V1V3SySOoMP&#10;NSU9ekqL4x2M9GYmfyBnIj12aNOX6DCKk7anq7ZqjEymomVZzikiKVQtlzdfs/bFa7HHEH8osCwZ&#10;DUdaXVZUHB9CpEEodUpJvRzca2Py+oxjQ8O/L+aLXHCNUIVxVJgonEdNVhx344XXDtoT0TK/HCma&#10;Xsdk4GTsJuPgUe97miuTz5C0kTzV5fWklf97z41f/5j1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eaSDWAAAABwEAAA8AAAAAAAAAAQAgAAAAIgAAAGRycy9kb3ducmV2LnhtbFBLAQIUABQAAAAI&#10;AIdO4kAlNvretgEAAHkDAAAOAAAAAAAAAAEAIAAAACUBAABkcnMvZTJvRG9jLnhtbFBLBQYAAAAA&#10;BgAGAFkBAABNBQAAAAA=&#10;">
                      <v:fill on="f" focussize="0,0"/>
                      <v:stroke on="f"/>
                      <v:imagedata o:title=""/>
                      <o:lock v:ext="edit" aspectratio="f"/>
                      <v:textbox inset="0mm,0mm,0mm,0mm">
                        <w:txbxContent>
                          <w:p>
                            <w:pPr>
                              <w:snapToGrid w:val="0"/>
                              <w:rPr>
                                <w:color w:val="000000"/>
                              </w:rPr>
                            </w:pPr>
                          </w:p>
                        </w:txbxContent>
                      </v:textbox>
                    </v:shape>
                  </w:pict>
                </mc:Fallback>
              </mc:AlternateContent>
            </w:r>
            <w:r>
              <w:rPr>
                <w:rFonts w:hint="eastAsia" w:asciiTheme="minorEastAsia" w:hAnsiTheme="minorEastAsia" w:cstheme="minorEastAsia"/>
                <w:b/>
                <w:bCs/>
                <w:szCs w:val="21"/>
              </w:rPr>
              <w:t xml:space="preserve">                     </w:t>
            </w:r>
            <w:r>
              <w:rPr>
                <w:rFonts w:hint="eastAsia" w:asciiTheme="minorEastAsia" w:hAnsiTheme="minorEastAsia" w:cstheme="minorEastAsia"/>
                <w:b/>
                <w:bCs/>
                <w:sz w:val="20"/>
                <w:szCs w:val="20"/>
              </w:rPr>
              <w:t>型号model</w:t>
            </w:r>
          </w:p>
          <w:p>
            <w:pPr>
              <w:spacing w:line="360" w:lineRule="auto"/>
              <w:rPr>
                <w:rFonts w:hint="default" w:asciiTheme="minorEastAsia" w:hAnsiTheme="minorEastAsia" w:eastAsiaTheme="minorEastAsia" w:cstheme="minorEastAsia"/>
                <w:b/>
                <w:bCs/>
                <w:szCs w:val="21"/>
                <w:lang w:val="en-US" w:eastAsia="zh-CN"/>
              </w:rPr>
            </w:pPr>
            <w:r>
              <w:rPr>
                <w:rFonts w:hint="eastAsia" w:asciiTheme="minorEastAsia" w:hAnsiTheme="minorEastAsia" w:cstheme="minorEastAsia"/>
                <w:b/>
                <w:bCs/>
                <w:szCs w:val="21"/>
              </w:rPr>
              <w:t>参数</w:t>
            </w:r>
            <w:r>
              <w:rPr>
                <w:rFonts w:hint="eastAsia" w:asciiTheme="minorEastAsia" w:hAnsiTheme="minorEastAsia" w:cstheme="minorEastAsia"/>
                <w:b/>
                <w:bCs/>
                <w:szCs w:val="21"/>
                <w:lang w:val="en-US" w:eastAsia="zh-CN"/>
              </w:rPr>
              <w:t xml:space="preserve"> parameter</w:t>
            </w:r>
          </w:p>
        </w:tc>
        <w:tc>
          <w:tcPr>
            <w:tcW w:w="3922" w:type="dxa"/>
            <w:tcBorders>
              <w:tl2br w:val="nil"/>
              <w:tr2bl w:val="nil"/>
            </w:tcBorders>
            <w:shd w:val="clear" w:color="auto" w:fill="auto"/>
            <w:vAlign w:val="center"/>
          </w:tcPr>
          <w:p>
            <w:pPr>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EVD751-120K-TD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6" w:type="dxa"/>
            <w:gridSpan w:val="2"/>
            <w:tcBorders>
              <w:tl2br w:val="nil"/>
              <w:tr2bl w:val="nil"/>
            </w:tcBorders>
            <w:shd w:val="clear" w:color="auto" w:fill="auto"/>
            <w:vAlign w:val="center"/>
          </w:tcPr>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rPr>
              <w:t>产品名称</w:t>
            </w:r>
            <w:r>
              <w:rPr>
                <w:rFonts w:hint="eastAsia" w:asciiTheme="minorEastAsia" w:hAnsiTheme="minorEastAsia" w:cstheme="minorEastAsia"/>
                <w:szCs w:val="21"/>
                <w:lang w:val="en-US" w:eastAsia="zh-CN"/>
              </w:rPr>
              <w:t xml:space="preserve"> product name</w:t>
            </w:r>
          </w:p>
        </w:tc>
        <w:tc>
          <w:tcPr>
            <w:tcW w:w="3922" w:type="dxa"/>
            <w:tcBorders>
              <w:tl2br w:val="nil"/>
              <w:tr2bl w:val="nil"/>
            </w:tcBorders>
            <w:shd w:val="clear" w:color="auto" w:fill="auto"/>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120kW双枪一体式直流充电机Dual Gun Integrated DC Charger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restart"/>
            <w:tcBorders>
              <w:tl2br w:val="nil"/>
              <w:tr2bl w:val="nil"/>
            </w:tcBorders>
            <w:shd w:val="clear" w:color="auto" w:fill="auto"/>
            <w:vAlign w:val="center"/>
          </w:tcPr>
          <w:p>
            <w:pPr>
              <w:spacing w:line="360" w:lineRule="auto"/>
              <w:rPr>
                <w:rFonts w:hint="eastAsia" w:asciiTheme="minorEastAsia" w:hAnsiTheme="minorEastAsia" w:cstheme="minorEastAsia"/>
                <w:szCs w:val="21"/>
              </w:rPr>
            </w:pPr>
            <w:r>
              <w:rPr>
                <w:rFonts w:hint="eastAsia" w:asciiTheme="minorEastAsia" w:hAnsiTheme="minorEastAsia" w:cstheme="minorEastAsia"/>
                <w:szCs w:val="21"/>
              </w:rPr>
              <w:t>输入</w:t>
            </w:r>
          </w:p>
          <w:p>
            <w:pPr>
              <w:spacing w:line="360" w:lineRule="auto"/>
              <w:rPr>
                <w:rFonts w:asciiTheme="minorEastAsia" w:hAnsiTheme="minorEastAsia" w:cstheme="minorEastAsia"/>
                <w:szCs w:val="21"/>
              </w:rPr>
            </w:pPr>
            <w:r>
              <w:rPr>
                <w:rFonts w:hint="eastAsia" w:asciiTheme="minorEastAsia" w:hAnsiTheme="minorEastAsia" w:cstheme="minorEastAsia"/>
                <w:szCs w:val="21"/>
              </w:rPr>
              <w:t>enter</w:t>
            </w:r>
          </w:p>
        </w:tc>
        <w:tc>
          <w:tcPr>
            <w:tcW w:w="3547" w:type="dxa"/>
            <w:tcBorders>
              <w:tl2br w:val="nil"/>
              <w:tr2bl w:val="nil"/>
            </w:tcBorders>
            <w:shd w:val="clear" w:color="auto" w:fill="auto"/>
            <w:vAlign w:val="center"/>
          </w:tcPr>
          <w:p>
            <w:pPr>
              <w:tabs>
                <w:tab w:val="center" w:pos="1613"/>
              </w:tabs>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工作电压</w:t>
            </w:r>
            <w:r>
              <w:rPr>
                <w:rFonts w:ascii="宋体" w:hAnsi="宋体" w:eastAsia="宋体" w:cs="宋体"/>
                <w:sz w:val="24"/>
                <w:szCs w:val="24"/>
                <w:lang w:val="en-US"/>
              </w:rPr>
              <w:t>Working voltage (VAC)</w:t>
            </w:r>
          </w:p>
        </w:tc>
        <w:tc>
          <w:tcPr>
            <w:tcW w:w="3922" w:type="dxa"/>
            <w:tcBorders>
              <w:tl2br w:val="nil"/>
              <w:tr2bl w:val="nil"/>
            </w:tcBorders>
            <w:shd w:val="clear" w:color="auto" w:fill="auto"/>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380V (三相五线制，3W+N+PE)±20%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tcBorders>
              <w:tl2br w:val="nil"/>
              <w:tr2bl w:val="nil"/>
            </w:tcBorders>
            <w:shd w:val="clear" w:color="auto" w:fill="auto"/>
            <w:vAlign w:val="center"/>
          </w:tcPr>
          <w:p>
            <w:pPr>
              <w:spacing w:line="360" w:lineRule="auto"/>
              <w:rPr>
                <w:rFonts w:asciiTheme="minorEastAsia" w:hAnsiTheme="minorEastAsia" w:cstheme="minorEastAsia"/>
                <w:szCs w:val="21"/>
              </w:rPr>
            </w:pPr>
          </w:p>
        </w:tc>
        <w:tc>
          <w:tcPr>
            <w:tcW w:w="3547" w:type="dxa"/>
            <w:tcBorders>
              <w:tl2br w:val="nil"/>
              <w:tr2bl w:val="nil"/>
            </w:tcBorders>
            <w:shd w:val="clear" w:color="auto" w:fill="auto"/>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频率范围</w:t>
            </w:r>
            <w:r>
              <w:rPr>
                <w:rFonts w:ascii="宋体" w:hAnsi="宋体" w:eastAsia="宋体" w:cs="宋体"/>
                <w:sz w:val="24"/>
                <w:szCs w:val="24"/>
                <w:lang w:val="en-US"/>
              </w:rPr>
              <w:t>Frequency range (Hz)</w:t>
            </w:r>
          </w:p>
        </w:tc>
        <w:tc>
          <w:tcPr>
            <w:tcW w:w="3922" w:type="dxa"/>
            <w:tcBorders>
              <w:tl2br w:val="nil"/>
              <w:tr2bl w:val="nil"/>
            </w:tcBorders>
            <w:shd w:val="clear" w:color="auto" w:fill="auto"/>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tcBorders>
              <w:tl2br w:val="nil"/>
              <w:tr2bl w:val="nil"/>
            </w:tcBorders>
            <w:shd w:val="clear" w:color="auto" w:fill="auto"/>
            <w:vAlign w:val="center"/>
          </w:tcPr>
          <w:p>
            <w:pPr>
              <w:spacing w:line="360" w:lineRule="auto"/>
              <w:rPr>
                <w:rFonts w:asciiTheme="minorEastAsia" w:hAnsiTheme="minorEastAsia" w:cstheme="minorEastAsia"/>
                <w:szCs w:val="21"/>
              </w:rPr>
            </w:pPr>
          </w:p>
        </w:tc>
        <w:tc>
          <w:tcPr>
            <w:tcW w:w="3547" w:type="dxa"/>
            <w:tcBorders>
              <w:tl2br w:val="nil"/>
              <w:tr2bl w:val="nil"/>
            </w:tcBorders>
            <w:shd w:val="clear" w:color="auto" w:fill="auto"/>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功率因数</w:t>
            </w:r>
            <w:r>
              <w:rPr>
                <w:rFonts w:ascii="宋体" w:hAnsi="宋体" w:eastAsia="宋体" w:cs="宋体"/>
                <w:sz w:val="24"/>
                <w:szCs w:val="24"/>
                <w:lang w:val="en-US"/>
              </w:rPr>
              <w:t>power factor</w:t>
            </w:r>
          </w:p>
        </w:tc>
        <w:tc>
          <w:tcPr>
            <w:tcW w:w="3922" w:type="dxa"/>
            <w:tcBorders>
              <w:tl2br w:val="nil"/>
              <w:tr2bl w:val="nil"/>
            </w:tcBorders>
            <w:shd w:val="clear" w:color="auto" w:fill="auto"/>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restart"/>
            <w:tcBorders>
              <w:tl2br w:val="nil"/>
              <w:tr2bl w:val="nil"/>
            </w:tcBorders>
            <w:shd w:val="clear" w:color="auto" w:fill="auto"/>
            <w:vAlign w:val="center"/>
          </w:tcPr>
          <w:p>
            <w:pPr>
              <w:spacing w:line="360" w:lineRule="auto"/>
              <w:rPr>
                <w:rFonts w:hint="eastAsia" w:asciiTheme="minorEastAsia" w:hAnsiTheme="minorEastAsia" w:cstheme="minorEastAsia"/>
                <w:szCs w:val="21"/>
              </w:rPr>
            </w:pPr>
            <w:r>
              <w:rPr>
                <w:rFonts w:hint="eastAsia" w:asciiTheme="minorEastAsia" w:hAnsiTheme="minorEastAsia" w:cstheme="minorEastAsia"/>
                <w:szCs w:val="21"/>
              </w:rPr>
              <w:t>输出</w:t>
            </w:r>
          </w:p>
          <w:p>
            <w:pPr>
              <w:spacing w:line="360" w:lineRule="auto"/>
              <w:rPr>
                <w:rFonts w:hint="eastAsia" w:asciiTheme="minorEastAsia" w:hAnsiTheme="minorEastAsia" w:cstheme="minorEastAsia"/>
                <w:szCs w:val="21"/>
              </w:rPr>
            </w:pPr>
            <w:r>
              <w:rPr>
                <w:rFonts w:ascii="宋体" w:hAnsi="宋体" w:eastAsia="宋体" w:cs="宋体"/>
                <w:sz w:val="24"/>
                <w:szCs w:val="24"/>
                <w:lang w:val="en-US"/>
              </w:rPr>
              <w:t>output</w:t>
            </w:r>
          </w:p>
        </w:tc>
        <w:tc>
          <w:tcPr>
            <w:tcW w:w="3547" w:type="dxa"/>
            <w:tcBorders>
              <w:tl2br w:val="nil"/>
              <w:tr2bl w:val="nil"/>
            </w:tcBorders>
            <w:shd w:val="clear" w:color="auto" w:fill="auto"/>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充电接口（个）</w:t>
            </w:r>
            <w:r>
              <w:rPr>
                <w:rFonts w:ascii="宋体" w:hAnsi="宋体" w:eastAsia="宋体" w:cs="宋体"/>
                <w:sz w:val="24"/>
                <w:szCs w:val="24"/>
                <w:lang w:val="en-US"/>
              </w:rPr>
              <w:t>Charging interface (pcs)</w:t>
            </w:r>
          </w:p>
        </w:tc>
        <w:tc>
          <w:tcPr>
            <w:tcW w:w="3922" w:type="dxa"/>
            <w:tcBorders>
              <w:tl2br w:val="nil"/>
              <w:tr2bl w:val="nil"/>
            </w:tcBorders>
            <w:shd w:val="clear" w:color="auto" w:fill="auto"/>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tcBorders>
              <w:tl2br w:val="nil"/>
              <w:tr2bl w:val="nil"/>
            </w:tcBorders>
            <w:shd w:val="clear" w:color="auto" w:fill="auto"/>
          </w:tcPr>
          <w:p>
            <w:pPr>
              <w:spacing w:line="360" w:lineRule="auto"/>
              <w:rPr>
                <w:rFonts w:asciiTheme="minorEastAsia" w:hAnsiTheme="minorEastAsia" w:cstheme="minorEastAsia"/>
                <w:szCs w:val="21"/>
              </w:rPr>
            </w:pPr>
          </w:p>
        </w:tc>
        <w:tc>
          <w:tcPr>
            <w:tcW w:w="3547" w:type="dxa"/>
            <w:tcBorders>
              <w:tl2br w:val="nil"/>
              <w:tr2bl w:val="nil"/>
            </w:tcBorders>
            <w:shd w:val="clear" w:color="auto" w:fill="auto"/>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输出电压范围</w:t>
            </w:r>
            <w:r>
              <w:rPr>
                <w:rFonts w:ascii="宋体" w:hAnsi="宋体" w:eastAsia="宋体" w:cs="宋体"/>
                <w:sz w:val="24"/>
                <w:szCs w:val="24"/>
                <w:lang w:val="en-US"/>
              </w:rPr>
              <w:t>Output Voltage Range (VDC)</w:t>
            </w:r>
          </w:p>
        </w:tc>
        <w:tc>
          <w:tcPr>
            <w:tcW w:w="3922" w:type="dxa"/>
            <w:tcBorders>
              <w:tl2br w:val="nil"/>
              <w:tr2bl w:val="nil"/>
            </w:tcBorders>
            <w:shd w:val="clear" w:color="auto" w:fill="auto"/>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200~750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tcBorders>
              <w:tl2br w:val="nil"/>
              <w:tr2bl w:val="nil"/>
            </w:tcBorders>
            <w:shd w:val="clear" w:color="auto" w:fill="auto"/>
          </w:tcPr>
          <w:p>
            <w:pPr>
              <w:spacing w:line="360" w:lineRule="auto"/>
              <w:rPr>
                <w:rFonts w:asciiTheme="minorEastAsia" w:hAnsiTheme="minorEastAsia" w:cstheme="minorEastAsia"/>
                <w:szCs w:val="21"/>
              </w:rPr>
            </w:pPr>
          </w:p>
        </w:tc>
        <w:tc>
          <w:tcPr>
            <w:tcW w:w="3547" w:type="dxa"/>
            <w:tcBorders>
              <w:tl2br w:val="nil"/>
              <w:tr2bl w:val="nil"/>
            </w:tcBorders>
            <w:shd w:val="clear" w:color="auto" w:fill="auto"/>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输出功率</w:t>
            </w:r>
            <w:r>
              <w:rPr>
                <w:rFonts w:ascii="宋体" w:hAnsi="宋体" w:eastAsia="宋体" w:cs="宋体"/>
                <w:sz w:val="24"/>
                <w:szCs w:val="24"/>
                <w:lang w:val="en-US"/>
              </w:rPr>
              <w:t>Output power (kW)</w:t>
            </w:r>
          </w:p>
        </w:tc>
        <w:tc>
          <w:tcPr>
            <w:tcW w:w="3922" w:type="dxa"/>
            <w:tcBorders>
              <w:tl2br w:val="nil"/>
              <w:tr2bl w:val="nil"/>
            </w:tcBorders>
            <w:shd w:val="clear" w:color="auto" w:fill="auto"/>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tcBorders>
              <w:tl2br w:val="nil"/>
              <w:tr2bl w:val="nil"/>
            </w:tcBorders>
            <w:shd w:val="clear" w:color="auto" w:fill="auto"/>
            <w:vAlign w:val="center"/>
          </w:tcPr>
          <w:p>
            <w:pPr>
              <w:spacing w:line="360" w:lineRule="auto"/>
              <w:rPr>
                <w:rFonts w:asciiTheme="minorEastAsia" w:hAnsiTheme="minorEastAsia" w:cstheme="minorEastAsia"/>
                <w:szCs w:val="21"/>
              </w:rPr>
            </w:pPr>
          </w:p>
        </w:tc>
        <w:tc>
          <w:tcPr>
            <w:tcW w:w="3547" w:type="dxa"/>
            <w:tcBorders>
              <w:tl2br w:val="nil"/>
              <w:tr2bl w:val="nil"/>
            </w:tcBorders>
            <w:shd w:val="clear" w:color="auto" w:fill="auto"/>
            <w:vAlign w:val="center"/>
          </w:tcPr>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充电枪长度</w:t>
            </w:r>
            <w:r>
              <w:rPr>
                <w:rFonts w:ascii="宋体" w:hAnsi="宋体" w:eastAsia="宋体" w:cs="宋体"/>
                <w:sz w:val="24"/>
                <w:szCs w:val="24"/>
                <w:lang w:val="en-US"/>
              </w:rPr>
              <w:t>Charging gun length (m)</w:t>
            </w:r>
          </w:p>
        </w:tc>
        <w:tc>
          <w:tcPr>
            <w:tcW w:w="3922" w:type="dxa"/>
            <w:tcBorders>
              <w:tl2br w:val="nil"/>
              <w:tr2bl w:val="nil"/>
            </w:tcBorders>
            <w:shd w:val="clear" w:color="auto" w:fill="auto"/>
            <w:vAlign w:val="center"/>
          </w:tcPr>
          <w:p>
            <w:pPr>
              <w:spacing w:line="360" w:lineRule="auto"/>
              <w:jc w:val="center"/>
              <w:rPr>
                <w:rFonts w:asciiTheme="minorEastAsia" w:hAnsiTheme="minorEastAsia" w:cstheme="minorEastAsia"/>
                <w:bCs/>
                <w:szCs w:val="21"/>
              </w:rPr>
            </w:pPr>
            <w:r>
              <w:rPr>
                <w:rFonts w:hint="eastAsia" w:asciiTheme="minorEastAsia" w:hAnsiTheme="minorEastAsia" w:cstheme="minorEastAsia"/>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tcBorders>
              <w:tl2br w:val="nil"/>
              <w:tr2bl w:val="nil"/>
            </w:tcBorders>
            <w:shd w:val="clear" w:color="auto" w:fill="auto"/>
            <w:vAlign w:val="center"/>
          </w:tcPr>
          <w:p>
            <w:pPr>
              <w:spacing w:line="360" w:lineRule="auto"/>
              <w:rPr>
                <w:rFonts w:asciiTheme="minorEastAsia" w:hAnsiTheme="minorEastAsia" w:cstheme="minorEastAsia"/>
                <w:szCs w:val="21"/>
              </w:rPr>
            </w:pPr>
          </w:p>
        </w:tc>
        <w:tc>
          <w:tcPr>
            <w:tcW w:w="3547" w:type="dxa"/>
            <w:tcBorders>
              <w:tl2br w:val="nil"/>
              <w:tr2bl w:val="nil"/>
            </w:tcBorders>
            <w:shd w:val="clear" w:color="auto" w:fill="auto"/>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功率分配方式</w:t>
            </w:r>
            <w:r>
              <w:rPr>
                <w:rFonts w:ascii="宋体" w:hAnsi="宋体" w:eastAsia="宋体" w:cs="宋体"/>
                <w:sz w:val="24"/>
                <w:szCs w:val="24"/>
                <w:lang w:val="en-US"/>
              </w:rPr>
              <w:t>Power distribution method</w:t>
            </w:r>
          </w:p>
        </w:tc>
        <w:tc>
          <w:tcPr>
            <w:tcW w:w="3922" w:type="dxa"/>
            <w:tcBorders>
              <w:tl2br w:val="nil"/>
              <w:tr2bl w:val="nil"/>
            </w:tcBorders>
            <w:shd w:val="clear" w:color="auto" w:fill="auto"/>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20/0</w:t>
            </w:r>
            <w:r>
              <w:rPr>
                <w:rFonts w:hint="eastAsia" w:asciiTheme="minorEastAsia" w:hAnsiTheme="minorEastAsia" w:cstheme="minorEastAsia"/>
                <w:szCs w:val="21"/>
              </w:rPr>
              <w:t>；6</w:t>
            </w:r>
            <w:r>
              <w:rPr>
                <w:rFonts w:asciiTheme="minorEastAsia" w:hAnsiTheme="minorEastAsia" w:cstheme="minorEastAsia"/>
                <w:szCs w:val="21"/>
              </w:rPr>
              <w:t>0/60</w:t>
            </w:r>
            <w:r>
              <w:rPr>
                <w:rFonts w:hint="eastAsia" w:asciiTheme="minorEastAsia" w:hAnsiTheme="minorEastAsia" w:cstheme="minorEastAsia"/>
                <w:szCs w:val="21"/>
              </w:rPr>
              <w:t>；0</w:t>
            </w:r>
            <w:r>
              <w:rPr>
                <w:rFonts w:asciiTheme="minorEastAsia" w:hAnsiTheme="minorEastAsia" w:cstheme="minorEastAsia"/>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restart"/>
            <w:tcBorders>
              <w:tl2br w:val="nil"/>
              <w:tr2bl w:val="nil"/>
            </w:tcBorders>
            <w:shd w:val="clear" w:color="auto" w:fill="auto"/>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设备信息Device Information</w:t>
            </w:r>
          </w:p>
        </w:tc>
        <w:tc>
          <w:tcPr>
            <w:tcW w:w="3547" w:type="dxa"/>
            <w:tcBorders>
              <w:tl2br w:val="nil"/>
              <w:tr2bl w:val="nil"/>
            </w:tcBorders>
            <w:shd w:val="clear" w:color="auto" w:fill="auto"/>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冷却方式</w:t>
            </w:r>
            <w:r>
              <w:rPr>
                <w:rFonts w:ascii="宋体" w:hAnsi="宋体" w:eastAsia="宋体" w:cs="宋体"/>
                <w:sz w:val="24"/>
                <w:szCs w:val="24"/>
                <w:lang w:val="en-US"/>
              </w:rPr>
              <w:t>cooling method</w:t>
            </w:r>
          </w:p>
        </w:tc>
        <w:tc>
          <w:tcPr>
            <w:tcW w:w="3922" w:type="dxa"/>
            <w:tcBorders>
              <w:tl2br w:val="nil"/>
              <w:tr2bl w:val="nil"/>
            </w:tcBorders>
            <w:shd w:val="clear" w:color="auto" w:fill="auto"/>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风冷air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tcBorders>
              <w:tl2br w:val="nil"/>
              <w:tr2bl w:val="nil"/>
            </w:tcBorders>
            <w:shd w:val="clear" w:color="auto" w:fill="auto"/>
            <w:vAlign w:val="center"/>
          </w:tcPr>
          <w:p>
            <w:pPr>
              <w:spacing w:line="360" w:lineRule="auto"/>
              <w:rPr>
                <w:rFonts w:asciiTheme="minorEastAsia" w:hAnsiTheme="minorEastAsia" w:cstheme="minorEastAsia"/>
                <w:szCs w:val="21"/>
              </w:rPr>
            </w:pPr>
          </w:p>
        </w:tc>
        <w:tc>
          <w:tcPr>
            <w:tcW w:w="3547" w:type="dxa"/>
            <w:tcBorders>
              <w:tl2br w:val="nil"/>
              <w:tr2bl w:val="nil"/>
            </w:tcBorders>
            <w:shd w:val="clear" w:color="auto" w:fill="auto"/>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最高效率</w:t>
            </w:r>
            <w:r>
              <w:rPr>
                <w:rFonts w:ascii="宋体" w:hAnsi="宋体" w:eastAsia="宋体" w:cs="宋体"/>
                <w:sz w:val="24"/>
                <w:szCs w:val="24"/>
                <w:lang w:val="en-US"/>
              </w:rPr>
              <w:t>highest efficiency</w:t>
            </w:r>
          </w:p>
        </w:tc>
        <w:tc>
          <w:tcPr>
            <w:tcW w:w="3922" w:type="dxa"/>
            <w:tcBorders>
              <w:tl2br w:val="nil"/>
              <w:tr2bl w:val="nil"/>
            </w:tcBorders>
            <w:shd w:val="clear" w:color="auto" w:fill="auto"/>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≥95.5 %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tcBorders>
              <w:tl2br w:val="nil"/>
              <w:tr2bl w:val="nil"/>
            </w:tcBorders>
            <w:shd w:val="clear" w:color="auto" w:fill="auto"/>
            <w:vAlign w:val="center"/>
          </w:tcPr>
          <w:p>
            <w:pPr>
              <w:spacing w:line="360" w:lineRule="auto"/>
              <w:rPr>
                <w:rFonts w:asciiTheme="minorEastAsia" w:hAnsiTheme="minorEastAsia" w:cstheme="minorEastAsia"/>
                <w:szCs w:val="21"/>
              </w:rPr>
            </w:pPr>
          </w:p>
        </w:tc>
        <w:tc>
          <w:tcPr>
            <w:tcW w:w="3547" w:type="dxa"/>
            <w:tcBorders>
              <w:tl2br w:val="nil"/>
              <w:tr2bl w:val="nil"/>
            </w:tcBorders>
            <w:shd w:val="clear" w:color="auto" w:fill="auto"/>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噪音</w:t>
            </w:r>
            <w:r>
              <w:rPr>
                <w:rFonts w:ascii="宋体" w:hAnsi="宋体" w:eastAsia="宋体" w:cs="宋体"/>
                <w:sz w:val="24"/>
                <w:szCs w:val="24"/>
                <w:lang w:val="en-US"/>
              </w:rPr>
              <w:t>Noise (dB)</w:t>
            </w:r>
          </w:p>
        </w:tc>
        <w:tc>
          <w:tcPr>
            <w:tcW w:w="3922" w:type="dxa"/>
            <w:tcBorders>
              <w:tl2br w:val="nil"/>
              <w:tr2bl w:val="nil"/>
            </w:tcBorders>
            <w:shd w:val="clear" w:color="auto" w:fill="auto"/>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tcBorders>
              <w:tl2br w:val="nil"/>
              <w:tr2bl w:val="nil"/>
            </w:tcBorders>
            <w:shd w:val="clear" w:color="auto" w:fill="auto"/>
            <w:vAlign w:val="center"/>
          </w:tcPr>
          <w:p>
            <w:pPr>
              <w:spacing w:line="360" w:lineRule="auto"/>
              <w:rPr>
                <w:rFonts w:asciiTheme="minorEastAsia" w:hAnsiTheme="minorEastAsia" w:cstheme="minorEastAsia"/>
                <w:szCs w:val="21"/>
              </w:rPr>
            </w:pPr>
          </w:p>
        </w:tc>
        <w:tc>
          <w:tcPr>
            <w:tcW w:w="3547" w:type="dxa"/>
            <w:tcBorders>
              <w:tl2br w:val="nil"/>
              <w:tr2bl w:val="nil"/>
            </w:tcBorders>
            <w:shd w:val="clear" w:color="auto" w:fill="auto"/>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防护等级</w:t>
            </w:r>
            <w:r>
              <w:rPr>
                <w:rFonts w:ascii="宋体" w:hAnsi="宋体" w:eastAsia="宋体" w:cs="宋体"/>
                <w:sz w:val="24"/>
                <w:szCs w:val="24"/>
                <w:lang w:val="en-US"/>
              </w:rPr>
              <w:t>Protection class</w:t>
            </w:r>
          </w:p>
        </w:tc>
        <w:tc>
          <w:tcPr>
            <w:tcW w:w="3922" w:type="dxa"/>
            <w:tcBorders>
              <w:tl2br w:val="nil"/>
              <w:tr2bl w:val="nil"/>
            </w:tcBorders>
            <w:shd w:val="clear" w:color="auto" w:fill="auto"/>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tcBorders>
              <w:tl2br w:val="nil"/>
              <w:tr2bl w:val="nil"/>
            </w:tcBorders>
            <w:shd w:val="clear" w:color="auto" w:fill="auto"/>
            <w:vAlign w:val="center"/>
          </w:tcPr>
          <w:p>
            <w:pPr>
              <w:spacing w:line="360" w:lineRule="auto"/>
              <w:rPr>
                <w:rFonts w:asciiTheme="minorEastAsia" w:hAnsiTheme="minorEastAsia" w:cstheme="minorEastAsia"/>
                <w:szCs w:val="21"/>
              </w:rPr>
            </w:pPr>
          </w:p>
        </w:tc>
        <w:tc>
          <w:tcPr>
            <w:tcW w:w="3547" w:type="dxa"/>
            <w:tcBorders>
              <w:tl2br w:val="nil"/>
              <w:tr2bl w:val="nil"/>
            </w:tcBorders>
            <w:shd w:val="clear" w:color="auto" w:fill="auto"/>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尺寸size（W×D×Hmm）</w:t>
            </w:r>
          </w:p>
        </w:tc>
        <w:tc>
          <w:tcPr>
            <w:tcW w:w="3922" w:type="dxa"/>
            <w:tcBorders>
              <w:tl2br w:val="nil"/>
              <w:tr2bl w:val="nil"/>
            </w:tcBorders>
            <w:shd w:val="clear" w:color="auto" w:fill="auto"/>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800×600×1650</w:t>
            </w:r>
          </w:p>
        </w:tc>
      </w:tr>
    </w:tbl>
    <w:p>
      <w:pPr>
        <w:bidi w:val="0"/>
        <w:jc w:val="both"/>
        <w:rPr>
          <w:rFonts w:hint="default"/>
          <w:lang w:val="en-US" w:eastAsia="zh-CN"/>
        </w:rPr>
      </w:pPr>
    </w:p>
    <w:p>
      <w:pPr>
        <w:bidi w:val="0"/>
        <w:jc w:val="both"/>
        <w:rPr>
          <w:rFonts w:hint="default"/>
          <w:lang w:val="en-US" w:eastAsia="zh-CN"/>
        </w:rPr>
      </w:pPr>
    </w:p>
    <w:p>
      <w:pPr>
        <w:bidi w:val="0"/>
        <w:jc w:val="both"/>
        <w:rPr>
          <w:rFonts w:hint="default"/>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lang w:val="en-US" w:eastAsia="zh-CN"/>
      </w:rPr>
    </w:pPr>
    <w:r>
      <w:rPr>
        <w:rFonts w:hint="eastAsia"/>
      </w:rPr>
      <w:t xml:space="preserve">Junfeng charging pile </w:t>
    </w:r>
    <w:r>
      <w:rPr>
        <w:rFonts w:hint="eastAsia"/>
        <w:lang w:val="en-US" w:eastAsia="zh-CN"/>
      </w:rPr>
      <w:t xml:space="preserve">    2022.02V      </w:t>
    </w:r>
    <w:r>
      <w:rPr>
        <w:rFonts w:hint="eastAsia"/>
        <w:lang w:val="en-US" w:eastAsia="zh-CN"/>
      </w:rPr>
      <w:fldChar w:fldCharType="begin"/>
    </w:r>
    <w:r>
      <w:rPr>
        <w:rFonts w:hint="eastAsia"/>
        <w:lang w:val="en-US" w:eastAsia="zh-CN"/>
      </w:rPr>
      <w:instrText xml:space="preserve"> HYPERLINK "http://www.jfqcgs.com/en" </w:instrText>
    </w:r>
    <w:r>
      <w:rPr>
        <w:rFonts w:hint="eastAsia"/>
        <w:lang w:val="en-US" w:eastAsia="zh-CN"/>
      </w:rPr>
      <w:fldChar w:fldCharType="separate"/>
    </w:r>
    <w:r>
      <w:rPr>
        <w:rStyle w:val="12"/>
        <w:rFonts w:hint="eastAsia"/>
        <w:lang w:val="en-US" w:eastAsia="zh-CN"/>
      </w:rPr>
      <w:t>www.jfqcgs.com/en</w:t>
    </w:r>
    <w:r>
      <w:rPr>
        <w:rFonts w:hint="eastAsia"/>
        <w:lang w:val="en-US" w:eastAsia="zh-CN"/>
      </w:rPr>
      <w:fldChar w:fldCharType="end"/>
    </w:r>
  </w:p>
  <w:p>
    <w:pPr>
      <w:pStyle w:val="7"/>
      <w:jc w:val="both"/>
      <w:rPr>
        <w:rFonts w:hint="default"/>
        <w:lang w:val="en-US" w:eastAsia="zh-CN"/>
      </w:rPr>
    </w:pPr>
    <w:bookmarkStart w:id="16" w:name="_GoBack"/>
    <w:r>
      <w:rPr>
        <w:rFonts w:hint="eastAsia"/>
        <w:lang w:val="en-US" w:eastAsia="zh-CN"/>
      </w:rPr>
      <w:t>============================================================================================</w:t>
    </w:r>
  </w:p>
  <w:bookmarkEnd w:id="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D5F7E"/>
    <w:multiLevelType w:val="multilevel"/>
    <w:tmpl w:val="235D5F7E"/>
    <w:lvl w:ilvl="0" w:tentative="0">
      <w:start w:val="1"/>
      <w:numFmt w:val="chineseCountingThousand"/>
      <w:pStyle w:val="1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83A08"/>
    <w:rsid w:val="029225B6"/>
    <w:rsid w:val="09346BAE"/>
    <w:rsid w:val="0BF80E82"/>
    <w:rsid w:val="177B0ACE"/>
    <w:rsid w:val="1E8E001A"/>
    <w:rsid w:val="23883A08"/>
    <w:rsid w:val="2FFC462F"/>
    <w:rsid w:val="318D6957"/>
    <w:rsid w:val="36965D92"/>
    <w:rsid w:val="56A92A73"/>
    <w:rsid w:val="64554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caption"/>
    <w:basedOn w:val="1"/>
    <w:next w:val="1"/>
    <w:unhideWhenUsed/>
    <w:qFormat/>
    <w:uiPriority w:val="35"/>
    <w:pPr>
      <w:jc w:val="center"/>
    </w:pPr>
    <w:rPr>
      <w:rFonts w:ascii="Arial" w:hAnsi="Arial" w:eastAsia="仿宋"/>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pPr>
      <w:tabs>
        <w:tab w:val="left" w:pos="420"/>
        <w:tab w:val="right" w:leader="dot" w:pos="9628"/>
      </w:tabs>
      <w:spacing w:line="360" w:lineRule="auto"/>
      <w:jc w:val="left"/>
    </w:pPr>
    <w:rPr>
      <w:rFonts w:eastAsia="宋体"/>
      <w:bCs/>
      <w:caps/>
      <w:sz w:val="24"/>
      <w:szCs w:val="28"/>
    </w:rPr>
  </w:style>
  <w:style w:type="table" w:styleId="10">
    <w:name w:val="Table Grid"/>
    <w:basedOn w:val="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99"/>
    <w:rPr>
      <w:color w:val="0000FF"/>
      <w:u w:val="single"/>
    </w:rPr>
  </w:style>
  <w:style w:type="paragraph" w:customStyle="1" w:styleId="13">
    <w:name w:val="一级标题"/>
    <w:basedOn w:val="2"/>
    <w:qFormat/>
    <w:uiPriority w:val="0"/>
    <w:pPr>
      <w:widowControl/>
      <w:numPr>
        <w:ilvl w:val="0"/>
        <w:numId w:val="1"/>
      </w:numPr>
      <w:tabs>
        <w:tab w:val="left" w:pos="567"/>
      </w:tabs>
      <w:adjustRightInd w:val="0"/>
      <w:spacing w:before="0" w:after="0" w:line="240" w:lineRule="auto"/>
      <w:ind w:right="-360"/>
      <w:jc w:val="left"/>
      <w:textAlignment w:val="baseline"/>
    </w:pPr>
    <w:rPr>
      <w:rFonts w:ascii="宋体" w:hAnsi="宋体" w:cs="Times New Roman"/>
      <w:bCs w:val="0"/>
      <w:color w:val="000000"/>
      <w:spacing w:val="-10"/>
      <w:kern w:val="28"/>
      <w:sz w:val="28"/>
      <w:szCs w:val="28"/>
      <w:lang w:bidi="he-IL"/>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2022-02-09T08:18:00Z</dcterms:created>
  <dc:creator>岸云俊男</dc:creator>
  <cp:lastModifiedBy>岸云俊男</cp:lastModifiedBy>
  <dcterms:modified xsi:type="dcterms:W3CDTF">2022-03-07T14:46:17Z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CE991888E8104585B4BBD4473AAD5D84</vt:lpwstr>
  </property>
</Properties>
</file>